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2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陕西省普通高校青年杰出人才支持计划</w:t>
      </w:r>
    </w:p>
    <w:p>
      <w:pPr>
        <w:ind w:right="320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</w:rPr>
        <w:t>实施办法（试行）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snapToGrid w:val="0"/>
        <w:spacing w:line="5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第一章</w:t>
      </w:r>
      <w:r>
        <w:rPr>
          <w:rFonts w:asci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总则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第一条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为进一步加强我省高校高层次人才队伍建设，加快提升高端人才储备，着力培养、造就一批青年学术骨干，构筑良好的人才发展梯队，根据《陕西省中长期人才发展规划</w:t>
      </w:r>
      <w:r>
        <w:rPr>
          <w:rFonts w:ascii="仿宋_GB2312" w:hAnsi="仿宋" w:eastAsia="仿宋_GB2312"/>
          <w:sz w:val="32"/>
          <w:szCs w:val="32"/>
        </w:rPr>
        <w:t>(2010-2020</w:t>
      </w:r>
      <w:r>
        <w:rPr>
          <w:rFonts w:hint="eastAsia" w:ascii="仿宋_GB2312" w:hAnsi="仿宋" w:eastAsia="仿宋_GB2312"/>
          <w:sz w:val="32"/>
          <w:szCs w:val="32"/>
        </w:rPr>
        <w:t>年</w:t>
      </w:r>
      <w:r>
        <w:rPr>
          <w:rFonts w:ascii="仿宋_GB2312" w:hAnsi="仿宋" w:eastAsia="仿宋_GB2312"/>
          <w:sz w:val="32"/>
          <w:szCs w:val="32"/>
        </w:rPr>
        <w:t>)</w:t>
      </w:r>
      <w:r>
        <w:rPr>
          <w:rFonts w:hint="eastAsia" w:ascii="仿宋_GB2312" w:hAnsi="仿宋" w:eastAsia="仿宋_GB2312"/>
          <w:sz w:val="32"/>
          <w:szCs w:val="32"/>
        </w:rPr>
        <w:t>》和《关于深化人才发展体制机制改革的实施意见》（陕发〔</w:t>
      </w:r>
      <w:r>
        <w:rPr>
          <w:rFonts w:ascii="仿宋_GB2312" w:hAnsi="仿宋" w:eastAsia="仿宋_GB2312"/>
          <w:sz w:val="32"/>
          <w:szCs w:val="32"/>
        </w:rPr>
        <w:t>2016</w:t>
      </w:r>
      <w:r>
        <w:rPr>
          <w:rFonts w:hint="eastAsia" w:ascii="仿宋_GB2312" w:hAnsi="仿宋" w:eastAsia="仿宋_GB2312"/>
          <w:sz w:val="32"/>
          <w:szCs w:val="32"/>
        </w:rPr>
        <w:t>〕</w:t>
      </w:r>
      <w:r>
        <w:rPr>
          <w:rFonts w:ascii="仿宋_GB2312" w:hAnsi="仿宋" w:eastAsia="仿宋_GB2312"/>
          <w:sz w:val="32"/>
          <w:szCs w:val="32"/>
        </w:rPr>
        <w:t>11</w:t>
      </w:r>
      <w:r>
        <w:rPr>
          <w:rFonts w:hint="eastAsia" w:ascii="仿宋_GB2312" w:hAnsi="仿宋" w:eastAsia="仿宋_GB2312"/>
          <w:sz w:val="32"/>
          <w:szCs w:val="32"/>
        </w:rPr>
        <w:t>号）精神，特制订本办法。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第二条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“青年杰出人才支持计划”着眼于人才基础性培养和战略性开发，提升我省高教系统人才竞争力，采取定期选拔、年度考核、动态调整的模式，选拔和支持一批研发水平高、创新能力强、综合素质好、发展潜力大的优秀青年学术技术人才，为我省实现追赶超越提供强有力的人才支撑和智力支持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“青年杰出人才支持计划”从</w:t>
      </w:r>
      <w:r>
        <w:rPr>
          <w:rFonts w:ascii="仿宋_GB2312" w:hAnsi="仿宋" w:eastAsia="仿宋_GB2312"/>
          <w:sz w:val="32"/>
          <w:szCs w:val="32"/>
        </w:rPr>
        <w:t>2017</w:t>
      </w:r>
      <w:r>
        <w:rPr>
          <w:rFonts w:hint="eastAsia" w:ascii="仿宋_GB2312" w:hAnsi="仿宋" w:eastAsia="仿宋_GB2312"/>
          <w:sz w:val="32"/>
          <w:szCs w:val="32"/>
        </w:rPr>
        <w:t>年开始实施，每年评选一次，通过五年时间，重点支持属于省内领先、国内有一定影响力的高层次学科专业人才后备力量，为进入国家和省（部）级人才计划打好基础。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第四条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“青年杰出人才支持计划”资助范围</w:t>
      </w:r>
      <w:r>
        <w:rPr>
          <w:rFonts w:hint="eastAsia" w:ascii="仿宋_GB2312" w:eastAsia="仿宋_GB2312"/>
          <w:kern w:val="0"/>
          <w:sz w:val="32"/>
          <w:szCs w:val="32"/>
        </w:rPr>
        <w:t>为在省内高校全职工作的优秀青年人才。</w:t>
      </w:r>
    </w:p>
    <w:p>
      <w:pPr>
        <w:snapToGrid w:val="0"/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第二章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评选原则和申报条件</w:t>
      </w:r>
    </w:p>
    <w:p>
      <w:pPr>
        <w:spacing w:line="56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第五条</w:t>
      </w:r>
      <w:r>
        <w:rPr>
          <w:rFonts w:ascii="仿宋_GB2312" w:hAnsi="仿宋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“青年杰出人才支持计划”的评选原则：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一）坚持服务中心。以全省经济社会发展为中心，充分发挥高校人才助推我省产业升级的强大动能，突出科技成果转化的支撑引领作用，鼓励引导青年人才发挥聪明才智，主动服务我省重点领域、重点区域、重点产业、重点企业，为我省经济社会发展做出贡献；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（二）坚持潜力优先。重点选拔和支持</w:t>
      </w:r>
      <w:r>
        <w:rPr>
          <w:rFonts w:hint="eastAsia" w:ascii="仿宋_GB2312" w:hAnsi="宋体" w:eastAsia="仿宋_GB2312" w:cs="宋体"/>
          <w:sz w:val="32"/>
          <w:szCs w:val="32"/>
        </w:rPr>
        <w:t>在自然科学、人文社会科学等重点学科领域具有较高的专业水平，</w:t>
      </w:r>
      <w:r>
        <w:rPr>
          <w:rFonts w:hint="eastAsia" w:ascii="仿宋_GB2312" w:eastAsia="仿宋_GB2312"/>
          <w:kern w:val="0"/>
          <w:sz w:val="32"/>
          <w:szCs w:val="32"/>
        </w:rPr>
        <w:t>在项目研发、科学研究、科技创新、成果转化中贡献突出，在工作中表现出较强专业特质和发展潜力的青年人才；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（三）坚持择优选拔。在制定标准、选拔程序、确定人选等环节始终体现公开公平公正，坚持以能力、潜力和业绩考察为重点，采取高校推荐和竞争性选拔相结合的方式，发现和推荐青年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杰出</w:t>
      </w:r>
      <w:r>
        <w:rPr>
          <w:rFonts w:hint="eastAsia" w:ascii="仿宋_GB2312" w:eastAsia="仿宋_GB2312"/>
          <w:kern w:val="0"/>
          <w:sz w:val="32"/>
          <w:szCs w:val="32"/>
        </w:rPr>
        <w:t>人才，确保有较强研究水平和创新能力的优秀人才脱颖而出；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（四）坚持分类指导。</w:t>
      </w:r>
      <w:r>
        <w:rPr>
          <w:rFonts w:hint="eastAsia" w:ascii="仿宋_GB2312" w:eastAsia="仿宋_GB2312"/>
          <w:sz w:val="32"/>
          <w:szCs w:val="32"/>
        </w:rPr>
        <w:t>兼顾不同层次高校人才队伍规模和学科、专业特长，统筹规划，同步推进，促进不同层次青年人才协调、均衡发展。</w:t>
      </w:r>
      <w:bookmarkStart w:id="0" w:name="_GoBack"/>
      <w:bookmarkEnd w:id="0"/>
    </w:p>
    <w:p>
      <w:pPr>
        <w:spacing w:line="56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第六条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“青年杰出人才支持计划”的申报条件：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（一）拥护党的路线方针政策，热爱祖国，遵纪守法，品行端正；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（二）恪守学术道德和职业道德，学风正派，诚实守信；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（三）具有博士学位或高级专业技术职称，在所研究学科领域崭露头角，获得较高成就及荣誉称号，有较好发展潜力和一定的社会影响；</w:t>
      </w:r>
    </w:p>
    <w:p>
      <w:pPr>
        <w:widowControl/>
        <w:snapToGrid w:val="0"/>
        <w:spacing w:line="560" w:lineRule="exact"/>
        <w:ind w:firstLine="640" w:firstLineChars="200"/>
        <w:jc w:val="left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eastAsia="仿宋_GB2312"/>
          <w:kern w:val="0"/>
          <w:sz w:val="32"/>
          <w:szCs w:val="32"/>
        </w:rPr>
        <w:t>（四）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具</w:t>
      </w:r>
      <w:r>
        <w:rPr>
          <w:rFonts w:hint="eastAsia" w:ascii="仿宋_GB2312" w:hAnsi="华文中宋" w:eastAsia="仿宋_GB2312" w:cs="宋体"/>
          <w:sz w:val="32"/>
          <w:szCs w:val="32"/>
        </w:rPr>
        <w:t>有</w:t>
      </w:r>
      <w:r>
        <w:rPr>
          <w:rFonts w:hint="eastAsia" w:ascii="仿宋_GB2312" w:hAnsi="华文中宋" w:eastAsia="仿宋_GB2312" w:cs="宋体"/>
          <w:sz w:val="32"/>
          <w:szCs w:val="32"/>
          <w:lang w:val="en-US" w:eastAsia="zh-CN"/>
        </w:rPr>
        <w:t>较</w:t>
      </w:r>
      <w:r>
        <w:rPr>
          <w:rFonts w:hint="eastAsia" w:ascii="仿宋_GB2312" w:hAnsi="华文中宋" w:eastAsia="仿宋_GB2312" w:cs="宋体"/>
          <w:sz w:val="32"/>
          <w:szCs w:val="32"/>
        </w:rPr>
        <w:t>好的学术、专业发展潜力</w:t>
      </w:r>
      <w:r>
        <w:rPr>
          <w:rFonts w:hint="eastAsia" w:ascii="仿宋_GB2312" w:hAnsi="华文中宋" w:eastAsia="仿宋_GB2312" w:cs="宋体"/>
          <w:sz w:val="32"/>
          <w:szCs w:val="32"/>
          <w:lang w:val="en-US" w:eastAsia="zh-CN"/>
        </w:rPr>
        <w:t>和</w:t>
      </w:r>
      <w:r>
        <w:rPr>
          <w:rFonts w:hint="eastAsia" w:ascii="仿宋_GB2312" w:hAnsi="华文中宋" w:eastAsia="仿宋_GB2312" w:cs="宋体"/>
          <w:sz w:val="32"/>
          <w:szCs w:val="32"/>
        </w:rPr>
        <w:t>创新思维，有志于在教学和科研一线潜心研究，建功立业；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（五）</w:t>
      </w:r>
      <w:r>
        <w:rPr>
          <w:rFonts w:hint="eastAsia" w:ascii="仿宋_GB2312" w:hAnsi="仿宋" w:eastAsia="仿宋_GB2312"/>
          <w:sz w:val="32"/>
          <w:szCs w:val="32"/>
        </w:rPr>
        <w:t>年龄一般在</w:t>
      </w:r>
      <w:r>
        <w:rPr>
          <w:rFonts w:hint="eastAsia" w:ascii="仿宋_GB2312" w:hAnsi="仿宋" w:eastAsia="仿宋_GB2312"/>
          <w:sz w:val="32"/>
          <w:szCs w:val="32"/>
          <w:lang w:val="en-US" w:eastAsia="zh-CN"/>
        </w:rPr>
        <w:t>35岁左右</w:t>
      </w:r>
      <w:r>
        <w:rPr>
          <w:rFonts w:hint="eastAsia" w:ascii="仿宋_GB2312" w:eastAsia="仿宋_GB2312"/>
          <w:kern w:val="0"/>
          <w:sz w:val="32"/>
          <w:szCs w:val="32"/>
        </w:rPr>
        <w:t>；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（六）对博士在读期间已取得突出成果的应届毕业生可以破格选拔。</w:t>
      </w:r>
    </w:p>
    <w:p>
      <w:pPr>
        <w:snapToGrid w:val="0"/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第三章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申报评选</w:t>
      </w:r>
    </w:p>
    <w:p>
      <w:pPr>
        <w:spacing w:line="560" w:lineRule="exact"/>
        <w:ind w:firstLine="640" w:firstLineChars="200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第七条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b/>
          <w:bCs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评选工作由省委高教工委统一安排部署，由省委高教工委组织部具体组织实施。</w:t>
      </w:r>
    </w:p>
    <w:p>
      <w:pPr>
        <w:spacing w:line="560" w:lineRule="exact"/>
        <w:ind w:firstLine="640" w:firstLineChars="200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第八条</w:t>
      </w:r>
      <w:r>
        <w:rPr>
          <w:rFonts w:ascii="黑体" w:hAnsi="黑体" w:eastAsia="黑体"/>
          <w:kern w:val="0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“青年杰出人才支持计</w:t>
      </w:r>
      <w:r>
        <w:rPr>
          <w:rFonts w:hint="eastAsia" w:ascii="仿宋_GB2312" w:eastAsia="仿宋_GB2312"/>
          <w:kern w:val="0"/>
          <w:sz w:val="32"/>
          <w:szCs w:val="32"/>
        </w:rPr>
        <w:t>划”的评选程序：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（一）推荐申报。各校组织人事部门负责推荐本校符合条件的优秀青年人才，并对申报人进行评议、遴选，提出综合推荐意见并在学校公示后，报省委高教工委；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FF0000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（二）专家评审。省委高教工委</w:t>
      </w:r>
      <w:r>
        <w:rPr>
          <w:rFonts w:hint="eastAsia" w:ascii="仿宋_GB2312" w:eastAsia="仿宋_GB2312"/>
          <w:sz w:val="32"/>
          <w:szCs w:val="32"/>
        </w:rPr>
        <w:t>根据申报人学科专业随机抽取</w:t>
      </w:r>
      <w:r>
        <w:rPr>
          <w:rFonts w:hint="eastAsia" w:ascii="仿宋_GB2312" w:eastAsia="仿宋_GB2312"/>
          <w:kern w:val="0"/>
          <w:sz w:val="32"/>
          <w:szCs w:val="32"/>
        </w:rPr>
        <w:t>相关领域的知名专家，通过审阅申报材料、会议评审等方式，提出初步人选；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（三）综合评议。根据专家评审意见，综合考虑学科专业均衡发展等要求，由省委高教工委审议确定最终入选名单；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（四）人选公布。入选优秀青年</w:t>
      </w:r>
      <w:r>
        <w:rPr>
          <w:rFonts w:hint="eastAsia" w:ascii="仿宋_GB2312" w:hAnsi="仿宋" w:eastAsia="仿宋_GB2312"/>
          <w:sz w:val="32"/>
          <w:szCs w:val="32"/>
        </w:rPr>
        <w:t>杰出人才</w:t>
      </w:r>
      <w:r>
        <w:rPr>
          <w:rFonts w:hint="eastAsia" w:ascii="仿宋_GB2312" w:eastAsia="仿宋_GB2312"/>
          <w:kern w:val="0"/>
          <w:sz w:val="32"/>
          <w:szCs w:val="32"/>
        </w:rPr>
        <w:t>支持计划的人员名单通过有关媒体向社会公示。</w:t>
      </w:r>
    </w:p>
    <w:p>
      <w:pPr>
        <w:spacing w:line="560" w:lineRule="exact"/>
        <w:ind w:firstLine="640" w:firstLineChars="200"/>
        <w:jc w:val="center"/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第四章</w:t>
      </w:r>
      <w:r>
        <w:rPr>
          <w:rFonts w:ascii="黑体" w:hAnsi="黑体" w:eastAsia="黑体"/>
          <w:kern w:val="0"/>
          <w:sz w:val="32"/>
          <w:szCs w:val="32"/>
        </w:rPr>
        <w:t xml:space="preserve">  </w:t>
      </w:r>
      <w:r>
        <w:rPr>
          <w:rFonts w:hint="eastAsia" w:ascii="黑体" w:hAnsi="黑体" w:eastAsia="黑体"/>
          <w:kern w:val="0"/>
          <w:sz w:val="32"/>
          <w:szCs w:val="32"/>
        </w:rPr>
        <w:t>支持服务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第九条</w:t>
      </w:r>
      <w:r>
        <w:rPr>
          <w:rFonts w:ascii="仿宋_GB2312" w:eastAsia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“青年杰出人才支持计划”</w:t>
      </w:r>
      <w:r>
        <w:rPr>
          <w:rFonts w:hint="eastAsia" w:ascii="仿宋_GB2312" w:eastAsia="仿宋_GB2312"/>
          <w:kern w:val="0"/>
          <w:sz w:val="32"/>
          <w:szCs w:val="32"/>
        </w:rPr>
        <w:t>从资金支持、导师指导、专项培训、政策扶持等方面，为入选的青年人才提供支持和帮助：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（一）资金支持。授予入选人才“陕西省普通高等学校青年</w:t>
      </w:r>
      <w:r>
        <w:rPr>
          <w:rFonts w:hint="eastAsia" w:ascii="仿宋_GB2312" w:hAnsi="仿宋" w:eastAsia="仿宋_GB2312"/>
          <w:sz w:val="32"/>
          <w:szCs w:val="32"/>
        </w:rPr>
        <w:t>杰出人才</w:t>
      </w:r>
      <w:r>
        <w:rPr>
          <w:rFonts w:hint="eastAsia" w:ascii="仿宋_GB2312" w:eastAsia="仿宋_GB2312"/>
          <w:kern w:val="0"/>
          <w:sz w:val="32"/>
          <w:szCs w:val="32"/>
        </w:rPr>
        <w:t>”荣誉称号，并为其提供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万元人民币的一次性生活资助（视同政府奖金），相关高校按照</w:t>
      </w:r>
      <w:r>
        <w:rPr>
          <w:rFonts w:ascii="仿宋_GB2312" w:eastAsia="仿宋_GB2312"/>
          <w:kern w:val="0"/>
          <w:sz w:val="32"/>
          <w:szCs w:val="32"/>
        </w:rPr>
        <w:t>1:1</w:t>
      </w:r>
      <w:r>
        <w:rPr>
          <w:rFonts w:hint="eastAsia" w:ascii="仿宋_GB2312" w:eastAsia="仿宋_GB2312"/>
          <w:kern w:val="0"/>
          <w:sz w:val="32"/>
          <w:szCs w:val="32"/>
        </w:rPr>
        <w:t>的比例进行配套支持；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二）导师指导。由入选青年人才提出导师人选，报省委高教工委审核通过后，为导师颁发聘书，并组织与入选计划的青年人才进行“一对一”结对，提供技术咨询指导。导师人选原则上应为具有正高级专业技术职称、在本专业领域有较高学术造诣的专家。导师所在高校应按照指导博士研究生同等条件兑现工作量；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（三）专项培训。以思想政治教育、学术道德建设、科学研究方法、形势政策解读等为重点，定期举办面向本计划支持对象的专题培训；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（四）政策扶持。各高校应在科研管理、事业平台、人事制度、考核评价、激励保障等方面给予入选青年人才适当倾斜。</w:t>
      </w:r>
    </w:p>
    <w:p>
      <w:pPr>
        <w:spacing w:line="56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第十条</w:t>
      </w:r>
      <w:r>
        <w:rPr>
          <w:rFonts w:ascii="仿宋_GB2312" w:eastAsia="仿宋_GB2312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在支持周期内，</w:t>
      </w:r>
      <w:r>
        <w:rPr>
          <w:rFonts w:hint="eastAsia" w:ascii="仿宋_GB2312" w:hAnsi="仿宋" w:eastAsia="仿宋_GB2312"/>
          <w:sz w:val="32"/>
          <w:szCs w:val="32"/>
        </w:rPr>
        <w:t>对创新能力突出、科研成果显著、发展潜力巨大的青年杰出人才，优先推荐其申报国家、省（部）级重点人才项目。</w:t>
      </w:r>
    </w:p>
    <w:p>
      <w:pPr>
        <w:spacing w:line="560" w:lineRule="exact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第五章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考核管理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</w:t>
      </w:r>
      <w:r>
        <w:rPr>
          <w:rFonts w:hint="eastAsia" w:ascii="黑体" w:hAnsi="黑体" w:eastAsia="黑体"/>
          <w:kern w:val="0"/>
          <w:sz w:val="32"/>
          <w:szCs w:val="32"/>
        </w:rPr>
        <w:t>一</w:t>
      </w:r>
      <w:r>
        <w:rPr>
          <w:rFonts w:hint="eastAsia" w:ascii="黑体" w:hAnsi="黑体" w:eastAsia="黑体"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各高校</w:t>
      </w:r>
      <w:r>
        <w:rPr>
          <w:rFonts w:hint="eastAsia" w:ascii="仿宋_GB2312" w:eastAsia="仿宋_GB2312"/>
          <w:sz w:val="32"/>
          <w:szCs w:val="32"/>
        </w:rPr>
        <w:t>需与入选青年人才签订相关工作合同，明确双方的权利和义务等事项，合同期限一般为三年，合同需报省委高教工委备案。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第十</w:t>
      </w:r>
      <w:r>
        <w:rPr>
          <w:rFonts w:hint="eastAsia" w:ascii="黑体" w:hAnsi="黑体" w:eastAsia="黑体"/>
          <w:sz w:val="32"/>
          <w:szCs w:val="32"/>
        </w:rPr>
        <w:t>二</w:t>
      </w:r>
      <w:r>
        <w:rPr>
          <w:rFonts w:hint="eastAsia" w:ascii="黑体" w:hAnsi="黑体" w:eastAsia="黑体"/>
          <w:kern w:val="0"/>
          <w:sz w:val="32"/>
          <w:szCs w:val="32"/>
        </w:rPr>
        <w:t>条</w:t>
      </w:r>
      <w:r>
        <w:rPr>
          <w:rFonts w:ascii="仿宋_GB2312" w:eastAsia="仿宋_GB2312"/>
          <w:kern w:val="0"/>
          <w:sz w:val="32"/>
          <w:szCs w:val="32"/>
        </w:rPr>
        <w:t xml:space="preserve">  </w:t>
      </w:r>
      <w:r>
        <w:rPr>
          <w:rFonts w:hint="eastAsia" w:ascii="仿宋_GB2312" w:eastAsia="仿宋_GB2312"/>
          <w:kern w:val="0"/>
          <w:sz w:val="32"/>
          <w:szCs w:val="32"/>
        </w:rPr>
        <w:t>各高校应加强对获</w:t>
      </w:r>
      <w:r>
        <w:rPr>
          <w:rFonts w:hint="eastAsia" w:ascii="仿宋_GB2312" w:hAnsi="仿宋" w:eastAsia="仿宋_GB2312"/>
          <w:sz w:val="32"/>
          <w:szCs w:val="32"/>
        </w:rPr>
        <w:t>资助青年人才的跟踪管理和评估考核工作，加强经费的使用和管理，并按年度将考核结果报省委高教工委。</w:t>
      </w:r>
    </w:p>
    <w:p>
      <w:pPr>
        <w:spacing w:line="560" w:lineRule="exact"/>
        <w:ind w:firstLine="640" w:firstLineChars="200"/>
      </w:pPr>
      <w:r>
        <w:rPr>
          <w:rFonts w:hint="eastAsia" w:ascii="黑体" w:hAnsi="黑体" w:eastAsia="黑体"/>
          <w:sz w:val="32"/>
          <w:szCs w:val="32"/>
        </w:rPr>
        <w:t>第十</w:t>
      </w:r>
      <w:r>
        <w:rPr>
          <w:rFonts w:hint="eastAsia" w:ascii="黑体" w:hAnsi="黑体" w:eastAsia="黑体"/>
          <w:kern w:val="0"/>
          <w:sz w:val="32"/>
          <w:szCs w:val="32"/>
        </w:rPr>
        <w:t>三</w:t>
      </w:r>
      <w:r>
        <w:rPr>
          <w:rFonts w:hint="eastAsia" w:ascii="黑体" w:hAnsi="黑体" w:eastAsia="黑体"/>
          <w:sz w:val="32"/>
          <w:szCs w:val="32"/>
        </w:rPr>
        <w:t>条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省委高教工委将按年度适时对各高校“青年</w:t>
      </w:r>
      <w:r>
        <w:rPr>
          <w:rFonts w:hint="eastAsia" w:ascii="仿宋_GB2312" w:hAnsi="仿宋" w:eastAsia="仿宋_GB2312"/>
          <w:sz w:val="32"/>
          <w:szCs w:val="32"/>
        </w:rPr>
        <w:t>杰出人才</w:t>
      </w:r>
      <w:r>
        <w:rPr>
          <w:rFonts w:hint="eastAsia" w:ascii="仿宋_GB2312" w:eastAsia="仿宋_GB2312"/>
          <w:sz w:val="32"/>
          <w:szCs w:val="32"/>
        </w:rPr>
        <w:t>支持计划”的</w:t>
      </w:r>
      <w:r>
        <w:rPr>
          <w:rFonts w:hint="eastAsia" w:ascii="仿宋_GB2312" w:hAnsi="仿宋" w:eastAsia="仿宋_GB2312" w:cs="仿宋"/>
          <w:sz w:val="32"/>
          <w:szCs w:val="32"/>
        </w:rPr>
        <w:t>资金落实、支持保障、管理服务等情况进行督导检查。</w:t>
      </w:r>
    </w:p>
    <w:p>
      <w:pPr>
        <w:snapToGrid w:val="0"/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第六章</w:t>
      </w:r>
      <w:r>
        <w:rPr>
          <w:rFonts w:ascii="黑体" w:hAnsi="黑体" w:eastAsia="黑体"/>
          <w:sz w:val="32"/>
          <w:szCs w:val="32"/>
        </w:rPr>
        <w:t xml:space="preserve">  </w:t>
      </w:r>
      <w:r>
        <w:rPr>
          <w:rFonts w:hint="eastAsia" w:ascii="黑体" w:hAnsi="黑体" w:eastAsia="黑体"/>
          <w:sz w:val="32"/>
          <w:szCs w:val="32"/>
        </w:rPr>
        <w:t>附则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第十四条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本办法由省委高教工委负责解释。</w:t>
      </w:r>
    </w:p>
    <w:p>
      <w:pPr>
        <w:snapToGrid w:val="0"/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第十五条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hAnsi="仿宋" w:eastAsia="仿宋_GB2312"/>
          <w:sz w:val="32"/>
          <w:szCs w:val="32"/>
        </w:rPr>
        <w:t>本办法自发布之日起施行。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widowControl/>
        <w:shd w:val="clear" w:color="auto" w:fill="FFFFFF"/>
        <w:jc w:val="left"/>
        <w:rPr>
          <w:rFonts w:ascii="宋体" w:cs="Arial"/>
          <w:color w:val="000000"/>
          <w:kern w:val="0"/>
          <w:sz w:val="30"/>
          <w:szCs w:val="30"/>
        </w:rPr>
      </w:pPr>
    </w:p>
    <w:p>
      <w:pPr>
        <w:widowControl/>
        <w:shd w:val="clear" w:color="auto" w:fill="FFFFFF"/>
        <w:ind w:firstLine="525"/>
        <w:jc w:val="center"/>
        <w:rPr>
          <w:rFonts w:ascii="宋体" w:cs="Arial"/>
          <w:color w:val="000000"/>
          <w:kern w:val="0"/>
          <w:sz w:val="30"/>
          <w:szCs w:val="30"/>
        </w:rPr>
      </w:pPr>
      <w:r>
        <w:rPr>
          <w:rFonts w:ascii="宋体" w:hAnsi="宋体" w:cs="Arial"/>
          <w:color w:val="000000"/>
          <w:kern w:val="0"/>
          <w:sz w:val="30"/>
          <w:szCs w:val="30"/>
        </w:rPr>
        <w:t xml:space="preserve">         </w:t>
      </w:r>
    </w:p>
    <w:p>
      <w:pPr>
        <w:rPr>
          <w:rFonts w:ascii="宋体"/>
          <w:color w:val="000000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F2C52"/>
    <w:rsid w:val="00001834"/>
    <w:rsid w:val="00004376"/>
    <w:rsid w:val="00004EEF"/>
    <w:rsid w:val="000153AD"/>
    <w:rsid w:val="000170FB"/>
    <w:rsid w:val="00027C2A"/>
    <w:rsid w:val="000326B0"/>
    <w:rsid w:val="00044279"/>
    <w:rsid w:val="00050EDE"/>
    <w:rsid w:val="00057842"/>
    <w:rsid w:val="00072ED9"/>
    <w:rsid w:val="00080890"/>
    <w:rsid w:val="000B41A3"/>
    <w:rsid w:val="000B4DF0"/>
    <w:rsid w:val="000D1DBE"/>
    <w:rsid w:val="000D71BD"/>
    <w:rsid w:val="000E0C6A"/>
    <w:rsid w:val="000F0530"/>
    <w:rsid w:val="000F1B7B"/>
    <w:rsid w:val="000F2942"/>
    <w:rsid w:val="00104857"/>
    <w:rsid w:val="00117BAF"/>
    <w:rsid w:val="00121397"/>
    <w:rsid w:val="00127D47"/>
    <w:rsid w:val="00127F6E"/>
    <w:rsid w:val="00131515"/>
    <w:rsid w:val="001439BF"/>
    <w:rsid w:val="00145F08"/>
    <w:rsid w:val="00146EB0"/>
    <w:rsid w:val="0015419D"/>
    <w:rsid w:val="001A09A3"/>
    <w:rsid w:val="001A2F5E"/>
    <w:rsid w:val="001D1E43"/>
    <w:rsid w:val="001E18F4"/>
    <w:rsid w:val="002104D9"/>
    <w:rsid w:val="0021518A"/>
    <w:rsid w:val="00226887"/>
    <w:rsid w:val="002357F6"/>
    <w:rsid w:val="00255E68"/>
    <w:rsid w:val="00271BB6"/>
    <w:rsid w:val="00281B0C"/>
    <w:rsid w:val="00286B71"/>
    <w:rsid w:val="0029286D"/>
    <w:rsid w:val="00295B7E"/>
    <w:rsid w:val="002A6859"/>
    <w:rsid w:val="002D086E"/>
    <w:rsid w:val="002D6C68"/>
    <w:rsid w:val="00306B72"/>
    <w:rsid w:val="003129DA"/>
    <w:rsid w:val="00324C8A"/>
    <w:rsid w:val="003261F2"/>
    <w:rsid w:val="003563AB"/>
    <w:rsid w:val="003611B8"/>
    <w:rsid w:val="003934AA"/>
    <w:rsid w:val="003947C3"/>
    <w:rsid w:val="003C2394"/>
    <w:rsid w:val="003C78E6"/>
    <w:rsid w:val="003D17A7"/>
    <w:rsid w:val="003D3876"/>
    <w:rsid w:val="003E20B8"/>
    <w:rsid w:val="003F391D"/>
    <w:rsid w:val="003F5001"/>
    <w:rsid w:val="003F6F4B"/>
    <w:rsid w:val="003F7D18"/>
    <w:rsid w:val="004076F2"/>
    <w:rsid w:val="00412F59"/>
    <w:rsid w:val="0041507A"/>
    <w:rsid w:val="00426D43"/>
    <w:rsid w:val="00441441"/>
    <w:rsid w:val="0045563D"/>
    <w:rsid w:val="0046564F"/>
    <w:rsid w:val="00465D72"/>
    <w:rsid w:val="00466697"/>
    <w:rsid w:val="0049749E"/>
    <w:rsid w:val="004A3946"/>
    <w:rsid w:val="004A4A0A"/>
    <w:rsid w:val="004B5C73"/>
    <w:rsid w:val="004D64F1"/>
    <w:rsid w:val="004F4FA7"/>
    <w:rsid w:val="004F6092"/>
    <w:rsid w:val="00521542"/>
    <w:rsid w:val="005413CC"/>
    <w:rsid w:val="00566769"/>
    <w:rsid w:val="005A0627"/>
    <w:rsid w:val="005A7B9A"/>
    <w:rsid w:val="005B41DA"/>
    <w:rsid w:val="005F04F6"/>
    <w:rsid w:val="005F0C12"/>
    <w:rsid w:val="005F7B99"/>
    <w:rsid w:val="00620407"/>
    <w:rsid w:val="00622B50"/>
    <w:rsid w:val="00636FC8"/>
    <w:rsid w:val="0064239C"/>
    <w:rsid w:val="00652E97"/>
    <w:rsid w:val="0066665C"/>
    <w:rsid w:val="00673B8B"/>
    <w:rsid w:val="0067665F"/>
    <w:rsid w:val="006A063D"/>
    <w:rsid w:val="006A5528"/>
    <w:rsid w:val="006C6825"/>
    <w:rsid w:val="006D14C8"/>
    <w:rsid w:val="006D6F9E"/>
    <w:rsid w:val="006E4640"/>
    <w:rsid w:val="006E7110"/>
    <w:rsid w:val="006F5DDE"/>
    <w:rsid w:val="007060C8"/>
    <w:rsid w:val="007218F0"/>
    <w:rsid w:val="00726D87"/>
    <w:rsid w:val="00737AB9"/>
    <w:rsid w:val="00757736"/>
    <w:rsid w:val="007578FD"/>
    <w:rsid w:val="007749A1"/>
    <w:rsid w:val="0078191E"/>
    <w:rsid w:val="007B0D7D"/>
    <w:rsid w:val="007B52ED"/>
    <w:rsid w:val="007E1522"/>
    <w:rsid w:val="007E19BE"/>
    <w:rsid w:val="007E499D"/>
    <w:rsid w:val="00810DC9"/>
    <w:rsid w:val="008144F6"/>
    <w:rsid w:val="00820D0C"/>
    <w:rsid w:val="00827903"/>
    <w:rsid w:val="008303D3"/>
    <w:rsid w:val="00845037"/>
    <w:rsid w:val="00860CF6"/>
    <w:rsid w:val="00894C52"/>
    <w:rsid w:val="008B051C"/>
    <w:rsid w:val="008B339C"/>
    <w:rsid w:val="008C0BC4"/>
    <w:rsid w:val="008C3D21"/>
    <w:rsid w:val="008C6512"/>
    <w:rsid w:val="008E3DE2"/>
    <w:rsid w:val="008F2C52"/>
    <w:rsid w:val="008F789F"/>
    <w:rsid w:val="00901532"/>
    <w:rsid w:val="0091753E"/>
    <w:rsid w:val="00925275"/>
    <w:rsid w:val="0094400D"/>
    <w:rsid w:val="00947855"/>
    <w:rsid w:val="0096632C"/>
    <w:rsid w:val="009751B5"/>
    <w:rsid w:val="009779A7"/>
    <w:rsid w:val="009B4D70"/>
    <w:rsid w:val="009B7C01"/>
    <w:rsid w:val="009C31B6"/>
    <w:rsid w:val="009F19DD"/>
    <w:rsid w:val="00A0756E"/>
    <w:rsid w:val="00A11ABB"/>
    <w:rsid w:val="00A40273"/>
    <w:rsid w:val="00A40986"/>
    <w:rsid w:val="00A5012E"/>
    <w:rsid w:val="00A57596"/>
    <w:rsid w:val="00A67B4C"/>
    <w:rsid w:val="00A71243"/>
    <w:rsid w:val="00A91C65"/>
    <w:rsid w:val="00AA46C7"/>
    <w:rsid w:val="00AC1F13"/>
    <w:rsid w:val="00AC252F"/>
    <w:rsid w:val="00AE01B2"/>
    <w:rsid w:val="00AE56E3"/>
    <w:rsid w:val="00AE601F"/>
    <w:rsid w:val="00B31DC9"/>
    <w:rsid w:val="00B40AB2"/>
    <w:rsid w:val="00B416E9"/>
    <w:rsid w:val="00B44E3C"/>
    <w:rsid w:val="00B51559"/>
    <w:rsid w:val="00B5186A"/>
    <w:rsid w:val="00B55577"/>
    <w:rsid w:val="00B642FA"/>
    <w:rsid w:val="00B7017A"/>
    <w:rsid w:val="00B7317E"/>
    <w:rsid w:val="00B81956"/>
    <w:rsid w:val="00B94F66"/>
    <w:rsid w:val="00B96349"/>
    <w:rsid w:val="00BB61B5"/>
    <w:rsid w:val="00BC7A24"/>
    <w:rsid w:val="00BD5D31"/>
    <w:rsid w:val="00BD72F3"/>
    <w:rsid w:val="00BE578C"/>
    <w:rsid w:val="00BF7DED"/>
    <w:rsid w:val="00C04E1B"/>
    <w:rsid w:val="00C7379D"/>
    <w:rsid w:val="00CB4C66"/>
    <w:rsid w:val="00CB6185"/>
    <w:rsid w:val="00CC6E31"/>
    <w:rsid w:val="00D03FC5"/>
    <w:rsid w:val="00D124C0"/>
    <w:rsid w:val="00D14087"/>
    <w:rsid w:val="00D242D0"/>
    <w:rsid w:val="00D33745"/>
    <w:rsid w:val="00D404CE"/>
    <w:rsid w:val="00D411EF"/>
    <w:rsid w:val="00D430AC"/>
    <w:rsid w:val="00D45BB6"/>
    <w:rsid w:val="00D469F8"/>
    <w:rsid w:val="00D51AFC"/>
    <w:rsid w:val="00D604F7"/>
    <w:rsid w:val="00D663B0"/>
    <w:rsid w:val="00D70D5D"/>
    <w:rsid w:val="00D762DD"/>
    <w:rsid w:val="00D95891"/>
    <w:rsid w:val="00DB3D91"/>
    <w:rsid w:val="00DD4E9E"/>
    <w:rsid w:val="00DD51BC"/>
    <w:rsid w:val="00DD51DC"/>
    <w:rsid w:val="00E03B17"/>
    <w:rsid w:val="00E055C4"/>
    <w:rsid w:val="00E12DF1"/>
    <w:rsid w:val="00E17B57"/>
    <w:rsid w:val="00E20918"/>
    <w:rsid w:val="00E24AF4"/>
    <w:rsid w:val="00E311E0"/>
    <w:rsid w:val="00E41022"/>
    <w:rsid w:val="00E73109"/>
    <w:rsid w:val="00E804B4"/>
    <w:rsid w:val="00E95C2A"/>
    <w:rsid w:val="00E95F0D"/>
    <w:rsid w:val="00EA575F"/>
    <w:rsid w:val="00EB297D"/>
    <w:rsid w:val="00EC4EB4"/>
    <w:rsid w:val="00EC5851"/>
    <w:rsid w:val="00ED0285"/>
    <w:rsid w:val="00ED3C47"/>
    <w:rsid w:val="00EE1417"/>
    <w:rsid w:val="00EF3382"/>
    <w:rsid w:val="00F12532"/>
    <w:rsid w:val="00F2743C"/>
    <w:rsid w:val="00F3153B"/>
    <w:rsid w:val="00F411AB"/>
    <w:rsid w:val="00F44426"/>
    <w:rsid w:val="00F51B52"/>
    <w:rsid w:val="00F54D16"/>
    <w:rsid w:val="00F73F4D"/>
    <w:rsid w:val="00F7423C"/>
    <w:rsid w:val="00F811DB"/>
    <w:rsid w:val="00F82833"/>
    <w:rsid w:val="00F86E46"/>
    <w:rsid w:val="00F871F6"/>
    <w:rsid w:val="00F92912"/>
    <w:rsid w:val="00FB1C79"/>
    <w:rsid w:val="00FB3098"/>
    <w:rsid w:val="00FC5AD8"/>
    <w:rsid w:val="00FD1790"/>
    <w:rsid w:val="00FE3EC9"/>
    <w:rsid w:val="00FE67B2"/>
    <w:rsid w:val="00FF10EC"/>
    <w:rsid w:val="14BD71BB"/>
    <w:rsid w:val="1EE37EC3"/>
    <w:rsid w:val="3830386C"/>
    <w:rsid w:val="4E1E50BE"/>
    <w:rsid w:val="52CC4A60"/>
    <w:rsid w:val="6A93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qFormat="1" w:unhideWhenUsed="0" w:uiPriority="99" w:name="footer"/>
    <w:lsdException w:unhideWhenUsed="0" w:uiPriority="0" w:semiHidden="0" w:name="index heading"/>
    <w:lsdException w:qFormat="1" w:uiPriority="35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 w:locked="1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99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9">
    <w:name w:val="Heading 1 Char"/>
    <w:basedOn w:val="7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0">
    <w:name w:val="Balloon Text Char"/>
    <w:basedOn w:val="7"/>
    <w:link w:val="3"/>
    <w:semiHidden/>
    <w:qFormat/>
    <w:locked/>
    <w:uiPriority w:val="99"/>
    <w:rPr>
      <w:rFonts w:ascii="Calibri" w:hAnsi="Calibri" w:cs="Times New Roman"/>
      <w:sz w:val="2"/>
    </w:rPr>
  </w:style>
  <w:style w:type="character" w:customStyle="1" w:styleId="11">
    <w:name w:val="Footer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Header Char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13">
    <w:name w:val="hei141"/>
    <w:basedOn w:val="7"/>
    <w:qFormat/>
    <w:uiPriority w:val="99"/>
    <w:rPr>
      <w:rFonts w:ascii="宋体" w:hAnsi="宋体" w:eastAsia="宋体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6</Pages>
  <Words>353</Words>
  <Characters>2015</Characters>
  <Lines>0</Lines>
  <Paragraphs>0</Paragraphs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2017-07-26T03:15:00Z</dcterms:created>
  <dc:creator>think</dc:creator>
  <cp:lastModifiedBy>马飞跃</cp:lastModifiedBy>
  <cp:lastPrinted>2017-07-18T01:49:00Z</cp:lastPrinted>
  <dcterms:modified xsi:type="dcterms:W3CDTF">2017-08-18T09:27:42Z</dcterms:modified>
  <dc:title>关于进一步加强我省高等学校高层次人才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