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仿宋" w:hAnsi="仿宋" w:eastAsia="仿宋"/>
          <w:b/>
          <w:sz w:val="32"/>
          <w:szCs w:val="32"/>
        </w:rPr>
      </w:pPr>
      <w:bookmarkStart w:id="0" w:name="_GoBack"/>
      <w:r>
        <w:rPr>
          <w:rFonts w:hint="eastAsia" w:ascii="仿宋" w:hAnsi="仿宋" w:eastAsia="仿宋"/>
          <w:b/>
          <w:color w:val="000000"/>
          <w:sz w:val="32"/>
          <w:szCs w:val="32"/>
        </w:rPr>
        <w:t>党建工作样板支部建设</w:t>
      </w:r>
      <w:r>
        <w:rPr>
          <w:rFonts w:ascii="仿宋" w:hAnsi="仿宋" w:eastAsia="仿宋"/>
          <w:b/>
          <w:color w:val="000000"/>
          <w:sz w:val="32"/>
          <w:szCs w:val="32"/>
        </w:rPr>
        <w:t>重点任务指南</w:t>
      </w:r>
    </w:p>
    <w:bookmarkEnd w:id="0"/>
    <w:tbl>
      <w:tblPr>
        <w:tblStyle w:val="2"/>
        <w:tblW w:w="142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6"/>
        <w:gridCol w:w="3207"/>
        <w:gridCol w:w="9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636" w:type="dxa"/>
            <w:shd w:val="clear" w:color="auto" w:fill="auto"/>
            <w:vAlign w:val="center"/>
          </w:tcPr>
          <w:p>
            <w:pPr>
              <w:snapToGrid w:val="0"/>
              <w:spacing w:line="360" w:lineRule="atLeast"/>
              <w:jc w:val="center"/>
              <w:rPr>
                <w:rFonts w:ascii="Times New Roman" w:hAnsi="Times New Roman" w:eastAsia="黑体"/>
                <w:kern w:val="0"/>
                <w:sz w:val="28"/>
                <w:szCs w:val="21"/>
              </w:rPr>
            </w:pPr>
            <w:r>
              <w:rPr>
                <w:rFonts w:ascii="Times New Roman" w:hAnsi="Times New Roman" w:eastAsia="黑体"/>
                <w:kern w:val="0"/>
                <w:sz w:val="28"/>
                <w:szCs w:val="21"/>
              </w:rPr>
              <w:t>一级指标</w:t>
            </w:r>
          </w:p>
        </w:tc>
        <w:tc>
          <w:tcPr>
            <w:tcW w:w="3207" w:type="dxa"/>
            <w:shd w:val="clear" w:color="auto" w:fill="auto"/>
            <w:vAlign w:val="center"/>
          </w:tcPr>
          <w:p>
            <w:pPr>
              <w:snapToGrid w:val="0"/>
              <w:spacing w:line="360" w:lineRule="atLeast"/>
              <w:jc w:val="center"/>
              <w:rPr>
                <w:rFonts w:ascii="Times New Roman" w:hAnsi="Times New Roman" w:eastAsia="黑体"/>
                <w:kern w:val="0"/>
                <w:sz w:val="28"/>
                <w:szCs w:val="21"/>
              </w:rPr>
            </w:pPr>
            <w:r>
              <w:rPr>
                <w:rFonts w:ascii="Times New Roman" w:hAnsi="Times New Roman" w:eastAsia="黑体"/>
                <w:kern w:val="0"/>
                <w:sz w:val="28"/>
                <w:szCs w:val="21"/>
              </w:rPr>
              <w:t>二级指标</w:t>
            </w:r>
          </w:p>
        </w:tc>
        <w:tc>
          <w:tcPr>
            <w:tcW w:w="9367" w:type="dxa"/>
            <w:shd w:val="clear" w:color="auto" w:fill="auto"/>
            <w:vAlign w:val="center"/>
          </w:tcPr>
          <w:p>
            <w:pPr>
              <w:snapToGrid w:val="0"/>
              <w:spacing w:line="360" w:lineRule="atLeast"/>
              <w:jc w:val="center"/>
              <w:rPr>
                <w:rFonts w:ascii="Times New Roman" w:hAnsi="Times New Roman" w:eastAsia="黑体"/>
                <w:kern w:val="0"/>
                <w:sz w:val="28"/>
                <w:szCs w:val="21"/>
              </w:rPr>
            </w:pPr>
            <w:r>
              <w:rPr>
                <w:rFonts w:ascii="Times New Roman" w:hAnsi="Times New Roman" w:eastAsia="黑体"/>
                <w:kern w:val="0"/>
                <w:sz w:val="28"/>
                <w:szCs w:val="21"/>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90" w:hRule="atLeast"/>
          <w:jc w:val="center"/>
        </w:trPr>
        <w:tc>
          <w:tcPr>
            <w:tcW w:w="1636" w:type="dxa"/>
            <w:vMerge w:val="restart"/>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 教育党员有力</w:t>
            </w:r>
          </w:p>
        </w:tc>
        <w:tc>
          <w:tcPr>
            <w:tcW w:w="3207" w:type="dxa"/>
            <w:tcBorders>
              <w:bottom w:val="single" w:color="auto" w:sz="4" w:space="0"/>
            </w:tcBorders>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1.1突出政治功能，党员教育扎实有效。</w:t>
            </w:r>
          </w:p>
        </w:tc>
        <w:tc>
          <w:tcPr>
            <w:tcW w:w="9367" w:type="dxa"/>
            <w:tcBorders>
              <w:bottom w:val="single" w:color="auto" w:sz="4" w:space="0"/>
            </w:tcBorders>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（1）始终把政治建设摆在首位，用习近平新时代中国特色社会主义思想武装党员头脑、指导实践、推动工作，教育党员牢固树立“四个意识”、坚定“四个自信”。</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（2）认真贯彻落实党的路线方针政策，宣传执行上级党组织及本支部的决议，支部党员、干部师生始终在思想上政治上行动上同以习近平同志为核心的党中央保持高度一致。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2" w:hRule="atLeast"/>
          <w:jc w:val="center"/>
        </w:trPr>
        <w:tc>
          <w:tcPr>
            <w:tcW w:w="1636" w:type="dxa"/>
            <w:vMerge w:val="continue"/>
            <w:shd w:val="clear" w:color="auto" w:fill="auto"/>
            <w:vAlign w:val="center"/>
          </w:tcPr>
          <w:p>
            <w:pPr>
              <w:spacing w:line="360" w:lineRule="exact"/>
              <w:jc w:val="center"/>
              <w:rPr>
                <w:rFonts w:ascii="Times New Roman" w:hAnsi="Times New Roman" w:eastAsia="仿宋_GB2312"/>
                <w:kern w:val="0"/>
                <w:sz w:val="28"/>
                <w:szCs w:val="28"/>
              </w:rPr>
            </w:pPr>
          </w:p>
        </w:tc>
        <w:tc>
          <w:tcPr>
            <w:tcW w:w="3207" w:type="dxa"/>
            <w:tcBorders>
              <w:top w:val="single" w:color="auto" w:sz="4" w:space="0"/>
            </w:tcBorders>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1.2深入推进“两学一做”学习教育常态化制度化，“三会一课”制度规范落实，支部主题党日严格规范。</w:t>
            </w:r>
          </w:p>
        </w:tc>
        <w:tc>
          <w:tcPr>
            <w:tcW w:w="9367" w:type="dxa"/>
            <w:tcBorders>
              <w:top w:val="single" w:color="auto" w:sz="4" w:space="0"/>
            </w:tcBorders>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推进“两学一做”学习教育常态化制度化，“三会一课”突出政治学习和党性锻炼，做到形式多样、氛围庄重。每月召开1次党小组会（不设党小组的支部召开支部大会）和支部委员会会议，一般每季度召开1次支部党员大会。党支部书记每年至少讲1次党课。党员领导干部按规定过好双重组织生活。</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（2）每月相对固定1天开展主题党日，组织党员集中学习、过组织生活、进行民主议事、开展志愿服务等活动。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7" w:hRule="atLeast"/>
          <w:jc w:val="center"/>
        </w:trPr>
        <w:tc>
          <w:tcPr>
            <w:tcW w:w="1636" w:type="dxa"/>
            <w:vMerge w:val="restart"/>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 管理党员有力</w:t>
            </w:r>
          </w:p>
        </w:tc>
        <w:tc>
          <w:tcPr>
            <w:tcW w:w="3207" w:type="dxa"/>
            <w:tcBorders>
              <w:bottom w:val="single" w:color="auto" w:sz="4" w:space="0"/>
            </w:tcBorders>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2.1党员发展、党员培训、党籍管理、党费收缴、党员激励关怀帮扶等工作扎实有效。</w:t>
            </w:r>
          </w:p>
        </w:tc>
        <w:tc>
          <w:tcPr>
            <w:tcW w:w="9367" w:type="dxa"/>
            <w:tcBorders>
              <w:bottom w:val="single" w:color="auto" w:sz="4" w:space="0"/>
            </w:tcBorders>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坚持党员发展标准，严格党员发展程序，注重政治合格，端正师生入党动机。教师党支部积极团结凝聚高层次人才、优秀青年教师、海外留学归国教师，符合条件的及时吸收入党。学生党支部将“推荐优秀团员作为入党积极分子人选”作为重要渠道，严把“质量关”，重视发展少数民族学生入党。</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（2）党员组织隶属关系明晰，按规定做好党员党组织关系接转、流动党员和出国境党员管理。严格落实党费收缴、使用和管理工作。党员激励关怀帮扶工作务实管用、常态长效。</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（3）按年度组织师生党员开展集中学习培训，时间一般不少于32个学时。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8" w:hRule="atLeast"/>
          <w:jc w:val="center"/>
        </w:trPr>
        <w:tc>
          <w:tcPr>
            <w:tcW w:w="1636" w:type="dxa"/>
            <w:vMerge w:val="continue"/>
            <w:shd w:val="clear" w:color="auto" w:fill="auto"/>
            <w:vAlign w:val="center"/>
          </w:tcPr>
          <w:p>
            <w:pPr>
              <w:spacing w:line="360" w:lineRule="exact"/>
              <w:jc w:val="center"/>
              <w:rPr>
                <w:rFonts w:ascii="Times New Roman" w:hAnsi="Times New Roman" w:eastAsia="仿宋_GB2312"/>
                <w:kern w:val="0"/>
                <w:sz w:val="28"/>
                <w:szCs w:val="28"/>
              </w:rPr>
            </w:pPr>
          </w:p>
        </w:tc>
        <w:tc>
          <w:tcPr>
            <w:tcW w:w="3207" w:type="dxa"/>
            <w:tcBorders>
              <w:top w:val="single" w:color="auto" w:sz="4" w:space="0"/>
            </w:tcBorders>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2.2党员先锋模范作用充分发挥。</w:t>
            </w:r>
          </w:p>
        </w:tc>
        <w:tc>
          <w:tcPr>
            <w:tcW w:w="9367" w:type="dxa"/>
            <w:tcBorders>
              <w:top w:val="single" w:color="auto" w:sz="4" w:space="0"/>
            </w:tcBorders>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（1）教育引导师生党员在日常教学科研生活中亮出党员身份、立起先进标尺、树立先锋形象。</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（2）教育引导教师党员努力成为“四有好老师”“四个引路人”和“四个相统一”的表率，学生党员努力成为“爱国、励志、求真、力行”“勤学、修德、明辨、笃行”“六有大学生”的表率。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2" w:hRule="atLeast"/>
          <w:jc w:val="center"/>
        </w:trPr>
        <w:tc>
          <w:tcPr>
            <w:tcW w:w="1636" w:type="dxa"/>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3. 监督党员有力</w:t>
            </w:r>
          </w:p>
        </w:tc>
        <w:tc>
          <w:tcPr>
            <w:tcW w:w="3207" w:type="dxa"/>
            <w:shd w:val="clear" w:color="auto" w:fill="auto"/>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坚持把纪律和规矩挺在前面，监督党员履行义务、遵规守纪及时到位。</w:t>
            </w:r>
          </w:p>
        </w:tc>
        <w:tc>
          <w:tcPr>
            <w:tcW w:w="9367" w:type="dxa"/>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严格用党章党规党纪规范党员行为，教育引导党员模范遵守教师职业道德规范、践行学术道德、严守纪律底线。落实谈心谈话制度，党支部委员之间、党支部委员和党员之间、党员和党员之间，每年谈心谈话一般不少于1次。</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（2）及时掌握了解党员思想动态，善于发现苗头性倾向性问题，“咬耳扯袖”成为常态。每年至少召开1次组织生活会，严肃开展批评和自我批评，认真查摆和解决问题。</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（3）党支部一般每学期末向上级党组织报告1次支部工作，每年向支部党员大会报告工作情况。党员一般每年向党支部汇报1次学习、思想和工作情况。党支部一般每年开展1次民主评议党员。</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（4）党员组织处置等措施有效运用、稳妥有序。党员退出机制健全，及时稳妥处置不合格党员。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45" w:hRule="atLeast"/>
          <w:jc w:val="center"/>
        </w:trPr>
        <w:tc>
          <w:tcPr>
            <w:tcW w:w="1636" w:type="dxa"/>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4. 组织师生有力</w:t>
            </w:r>
          </w:p>
        </w:tc>
        <w:tc>
          <w:tcPr>
            <w:tcW w:w="3207" w:type="dxa"/>
            <w:shd w:val="clear" w:color="auto" w:fill="auto"/>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引领带动师生投入中心工作的动员力、实效性强。</w:t>
            </w:r>
          </w:p>
        </w:tc>
        <w:tc>
          <w:tcPr>
            <w:tcW w:w="9367" w:type="dxa"/>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（1）积极参与本单位重要事项讨论决策，师生思想政治工作针对性和亲和力强，最大限度地把师生组织起来，引领带动师生积极投身学校改革发展、维护学校和谐稳定。</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（2）教师党支部团结带领广大教师落实立德树人根本任务，不断提高人才培养质量。</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（3）学生党支部积极参与班级、年级、学生组织管理工作，引领优良班风学风校风建设，推进社会主义核心价值观培育践行。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6" w:hRule="atLeast"/>
          <w:jc w:val="center"/>
        </w:trPr>
        <w:tc>
          <w:tcPr>
            <w:tcW w:w="1636" w:type="dxa"/>
            <w:vMerge w:val="restart"/>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5. 宣传师生有力</w:t>
            </w:r>
          </w:p>
        </w:tc>
        <w:tc>
          <w:tcPr>
            <w:tcW w:w="3207" w:type="dxa"/>
            <w:tcBorders>
              <w:bottom w:val="single" w:color="auto" w:sz="4" w:space="0"/>
            </w:tcBorders>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5.1学习传达上级党组织决策部署及时到位。</w:t>
            </w:r>
          </w:p>
        </w:tc>
        <w:tc>
          <w:tcPr>
            <w:tcW w:w="9367" w:type="dxa"/>
            <w:tcBorders>
              <w:bottom w:val="single" w:color="auto" w:sz="4" w:space="0"/>
            </w:tcBorders>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（1）组织开展习近平新时代中国特色社会主义思想学习教育，引领师生听党话、跟党走，把师生思想统一到党中央决策部署上来。</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（2）认真贯彻落实党的路线方针政策，及时学习传达上级党组织的决议，结合本单位实际抓好组织落实。</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（3）巩固马克思主义在高校意识形态领域的指导地位，有效防止各类错误思想文化侵蚀，教育引导师生在课堂教学、论坛讲座等活动中坚持正确的政治立场、政治方向、政治原则、政治道路。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7" w:hRule="atLeast"/>
          <w:jc w:val="center"/>
        </w:trPr>
        <w:tc>
          <w:tcPr>
            <w:tcW w:w="1636" w:type="dxa"/>
            <w:vMerge w:val="continue"/>
            <w:shd w:val="clear" w:color="auto" w:fill="auto"/>
            <w:vAlign w:val="center"/>
          </w:tcPr>
          <w:p>
            <w:pPr>
              <w:spacing w:line="360" w:lineRule="exact"/>
              <w:jc w:val="center"/>
              <w:rPr>
                <w:rFonts w:ascii="Times New Roman" w:hAnsi="Times New Roman" w:eastAsia="仿宋_GB2312"/>
                <w:kern w:val="0"/>
                <w:sz w:val="28"/>
                <w:szCs w:val="28"/>
              </w:rPr>
            </w:pPr>
          </w:p>
        </w:tc>
        <w:tc>
          <w:tcPr>
            <w:tcW w:w="3207" w:type="dxa"/>
            <w:tcBorders>
              <w:top w:val="single" w:color="auto" w:sz="4" w:space="0"/>
            </w:tcBorders>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5.2注重发现树立、宣传推广师生身边典型人物、典型事迹。</w:t>
            </w:r>
          </w:p>
        </w:tc>
        <w:tc>
          <w:tcPr>
            <w:tcW w:w="9367" w:type="dxa"/>
            <w:tcBorders>
              <w:top w:val="single" w:color="auto" w:sz="4" w:space="0"/>
            </w:tcBorders>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（1）注重发现挖掘师生身边典型，深入提炼树立具有较大影响力代表性、可学习可复制的典型经验、典型人物、典型事迹。</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（2）充分利用校园内外、网上网下等宣传平台，通过组织宣讲报告、座谈交流、文化文艺活动等形式，广泛宣传典型，充分发挥示范带动作用，形成广大师生学做先进、争当先进的深厚氛围。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9" w:hRule="atLeast"/>
          <w:jc w:val="center"/>
        </w:trPr>
        <w:tc>
          <w:tcPr>
            <w:tcW w:w="1636" w:type="dxa"/>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6. 凝聚师生有力</w:t>
            </w:r>
          </w:p>
        </w:tc>
        <w:tc>
          <w:tcPr>
            <w:tcW w:w="3207" w:type="dxa"/>
            <w:shd w:val="clear" w:color="auto" w:fill="auto"/>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思想引领和价值观塑造有机融入教师教学科研、学生学习生活。</w:t>
            </w:r>
          </w:p>
        </w:tc>
        <w:tc>
          <w:tcPr>
            <w:tcW w:w="9367" w:type="dxa"/>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（1）教育引导支部党员、任课教师深入挖掘提炼各门课程中蕴含的思想政治教育元素，发挥“课程思政”育人功能。</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（2）把思想价值引领贯穿支部党员、单位教师论文选题、科研立项、教学改革等工作中，推进师生遵循中国特色学术评价标准和科研评价办法。</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（3）把社会主义核心价值观培育践行贯穿师生专业课实践教学、社会实践活动、创新创业教育、志愿服务等过程，增强思想引领和价值观塑造的实效性。</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（4）关心了解师生思想政治状况，及时回应师生重大关切，防止各类错误思想文化侵蚀，建立健全预警机制，积极做好教育引导工作。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91" w:hRule="atLeast"/>
          <w:jc w:val="center"/>
        </w:trPr>
        <w:tc>
          <w:tcPr>
            <w:tcW w:w="1636" w:type="dxa"/>
            <w:shd w:val="clear" w:color="auto" w:fill="auto"/>
            <w:vAlign w:val="center"/>
          </w:tcPr>
          <w:p>
            <w:pPr>
              <w:spacing w:line="400" w:lineRule="exact"/>
              <w:ind w:left="420"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7. 服务师生有力</w:t>
            </w:r>
          </w:p>
        </w:tc>
        <w:tc>
          <w:tcPr>
            <w:tcW w:w="3207" w:type="dxa"/>
            <w:shd w:val="clear" w:color="auto" w:fill="auto"/>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常态化了解师生困难诉求、倾听师生意见建议，师生有困难找支部、有问题找党员的帮扶机制健全有效。</w:t>
            </w:r>
          </w:p>
        </w:tc>
        <w:tc>
          <w:tcPr>
            <w:tcW w:w="9367" w:type="dxa"/>
            <w:shd w:val="clear" w:color="auto" w:fill="auto"/>
            <w:vAlign w:val="center"/>
          </w:tcPr>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（1）坚持以支部党的建设带动所在单位团组织、工会组织建设，常态化做好联系、服务师生工作。</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（2）健全困难师生关心帮扶机制，把解决思想问题和解决实际问题相结合，积极开展服务、帮扶、慰问等活动。</w:t>
            </w:r>
          </w:p>
          <w:p>
            <w:pPr>
              <w:spacing w:line="400" w:lineRule="exact"/>
              <w:ind w:left="664" w:hanging="663" w:hangingChars="237"/>
              <w:rPr>
                <w:rFonts w:ascii="Times New Roman" w:hAnsi="Times New Roman" w:eastAsia="仿宋_GB2312"/>
                <w:kern w:val="0"/>
                <w:sz w:val="28"/>
                <w:szCs w:val="28"/>
              </w:rPr>
            </w:pPr>
            <w:r>
              <w:rPr>
                <w:rFonts w:ascii="Times New Roman" w:hAnsi="Times New Roman" w:eastAsia="仿宋_GB2312"/>
                <w:kern w:val="0"/>
                <w:sz w:val="28"/>
                <w:szCs w:val="28"/>
              </w:rPr>
              <w:t>（3）搭建交流平台，丰富服务载体，及时了解、听取、回应师生意见和诉求，把党支部建成党员之家、师生之家，增强师生归属感获得感。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D6359"/>
    <w:rsid w:val="4EED63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2019-05-13T08:52:00Z</dcterms:created>
  <dc:creator>廖代卿</dc:creator>
  <cp:lastModifiedBy>廖代卿</cp:lastModifiedBy>
  <dcterms:modified xsi:type="dcterms:W3CDTF">2019-05-13T08:54:30Z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